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26" w:rsidRPr="0080325D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80325D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80325D">
        <w:rPr>
          <w:rFonts w:ascii="Times New Roman" w:eastAsia="標楷體" w:hAnsi="Times New Roman" w:cs="Times New Roman"/>
          <w:sz w:val="32"/>
          <w:szCs w:val="32"/>
        </w:rPr>
        <w:t>10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Pr="0080325D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320D06" w:rsidRPr="0080325D" w:rsidRDefault="00320D06" w:rsidP="001F3F2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擬像與仿真：影本閱讀與詮釋創生</w:t>
      </w: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」</w:t>
      </w:r>
    </w:p>
    <w:p w:rsidR="00B472BA" w:rsidRPr="0080325D" w:rsidRDefault="001F3F26" w:rsidP="001F3F2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期末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班聯賽</w:t>
      </w:r>
      <w:r w:rsidR="00B472BA" w:rsidRPr="0080325D">
        <w:rPr>
          <w:rFonts w:ascii="Times New Roman" w:eastAsia="標楷體" w:hAnsi="Times New Roman" w:cs="Times New Roman" w:hint="eastAsia"/>
          <w:sz w:val="32"/>
          <w:szCs w:val="32"/>
        </w:rPr>
        <w:t>比賽辦法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●比賽依據：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擬像與仿真：影本閱讀與詮釋創生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」課群會議決議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C41D6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●比賽宗旨：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綜合運用課堂和工作坊所習得之知識、情意與技能，拍攝與剪輯成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微廣告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作業，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以展現</w:t>
      </w:r>
      <w:r w:rsidR="000140AA" w:rsidRPr="000140AA">
        <w:rPr>
          <w:rFonts w:ascii="新細明體" w:eastAsia="新細明體" w:cs="新細明體" w:hint="eastAsia"/>
          <w:color w:val="333333"/>
          <w:kern w:val="0"/>
          <w:szCs w:val="24"/>
        </w:rPr>
        <w:t>影本閱讀與詮釋創生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的課群精神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F3F26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●辦理單位：</w:t>
      </w:r>
    </w:p>
    <w:p w:rsidR="001F3F26" w:rsidRDefault="001F3F26" w:rsidP="00320D06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1.指導單位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：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教育部資訊及科技教育司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健行科大通識教育中心</w:t>
      </w:r>
    </w:p>
    <w:p w:rsidR="001F3F26" w:rsidRDefault="00320D06" w:rsidP="00862BA0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2.主辦單位：「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擬像與仿真：影本閱讀與詮釋創生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」課群會議</w:t>
      </w:r>
    </w:p>
    <w:p w:rsidR="00862BA0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●參賽主題：所有作品嚴禁惡意批評攻擊他人或團體。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作品內容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應避免畫質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(聲音)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不清、內容離題、違反善良風俗及侵害他人著作權等相關情事。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主題應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呼應「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政治利維坦：視域融合與象徵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」、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「歷史共和國：互文詮釋與想像」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「科技烏托邦：文學原型與創生」3門課程內容元素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692A5B">
      <w:pPr>
        <w:autoSpaceDE w:val="0"/>
        <w:autoSpaceDN w:val="0"/>
        <w:adjustRightInd w:val="0"/>
        <w:ind w:left="1428" w:hangingChars="595" w:hanging="1428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●作品格式：所有作品可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用手機、數位相機、攝影機或其他攝錄器材完成拍攝；可採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單機或多機拍攝，並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應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製作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字幕、音樂、旁白，但檔案格式以</w:t>
      </w:r>
      <w:r>
        <w:rPr>
          <w:rFonts w:ascii="新細明體" w:eastAsia="新細明體" w:cs="新細明體"/>
          <w:color w:val="333333"/>
          <w:kern w:val="0"/>
          <w:szCs w:val="24"/>
        </w:rPr>
        <w:t>wmv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>
        <w:rPr>
          <w:rFonts w:ascii="新細明體" w:eastAsia="新細明體" w:cs="新細明體"/>
          <w:color w:val="333333"/>
          <w:kern w:val="0"/>
          <w:szCs w:val="24"/>
        </w:rPr>
        <w:t>avi</w:t>
      </w:r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、flv等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為限。長度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限定在</w:t>
      </w:r>
      <w:r w:rsidR="0080325D"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r w:rsidR="00BF17A9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1分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30秒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692A5B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至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AA1A30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5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分鐘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8F1FCC" w:rsidRPr="008F1FCC">
        <w:rPr>
          <w:rFonts w:ascii="新細明體" w:eastAsia="新細明體" w:cs="新細明體" w:hint="eastAsia"/>
          <w:color w:val="333333"/>
          <w:kern w:val="0"/>
          <w:szCs w:val="24"/>
        </w:rPr>
        <w:t>以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內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●參賽資格／辦法：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8F1FCC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擬像與仿真：影本閱讀與詮釋創生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」課群各班初賽隊伍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推薦3隊參加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，本次比賽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採團體競賽方式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，共</w:t>
      </w:r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9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隊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參賽作品以未曾出版、發表或獲獎者為限。並不得抄襲或頂用他人名義，如涉及著作權及其他法律之侵權行為，其法律責任自負。如有上述情形，除取消資格、追回獎狀及獎金外，並依校規懲處。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所有參賽及獲獎作品著作權仍歸屬於參賽團體，但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計畫課群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擁有出版、集結編印、公開展覽與放映、公佈於網站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(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為進行數位化典藏、重製、透過網路公開傳輸、下載、列印之需要，並得進行格式之變更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或推薦報刊媒體發表之權利，且於贈閱推廣、編印發表、公開展覽、公開放映時不另支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薪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酬，原作者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不得有異議。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4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所有參賽組別繳交作品時皆應繳交著作權聲明書。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5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所有參賽組別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成員必須出席比賽，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須準備3分鐘創作理念說明ppt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檔案，並於期末聯賽中報告。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●評選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標準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本活動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委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由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通識中心邀請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校內外專家組成評審委員會評審評選之。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lastRenderedPageBreak/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未達評審認定標準者，獎項得從缺；從缺時，評審委員會並得視實際情況於未超過獎項總額範圍內增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加錄取佳作若干名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3.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本次活動評選標準如下：</w:t>
      </w:r>
    </w:p>
    <w:tbl>
      <w:tblPr>
        <w:tblStyle w:val="a3"/>
        <w:tblW w:w="0" w:type="auto"/>
        <w:tblInd w:w="392" w:type="dxa"/>
        <w:tblLook w:val="04A0"/>
      </w:tblPr>
      <w:tblGrid>
        <w:gridCol w:w="1158"/>
        <w:gridCol w:w="840"/>
        <w:gridCol w:w="5798"/>
      </w:tblGrid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評選項目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比例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說明</w:t>
            </w:r>
          </w:p>
        </w:tc>
      </w:tr>
      <w:tr w:rsidR="00B472BA" w:rsidRPr="00B472BA" w:rsidTr="00B472BA">
        <w:tc>
          <w:tcPr>
            <w:tcW w:w="1158" w:type="dxa"/>
          </w:tcPr>
          <w:p w:rsidR="00636256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主題與</w:t>
            </w:r>
          </w:p>
          <w:p w:rsidR="00B472BA" w:rsidRPr="00B472BA" w:rsidRDefault="00B472BA" w:rsidP="0063625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架構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20%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‧主題：作品主題與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參賽主題的貼切程度。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‧架構：作品內容開展的面向與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參賽主題的適切性。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表達深度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0140A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作品對於</w:t>
            </w:r>
            <w:r w:rsidR="000140A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課程內容或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公共議題的探索或省思的深度。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感染力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對於閱聽者同受感動的程度。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呈現技巧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2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‧電腦處理技巧呈現。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‧整體視覺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/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聽覺的效果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美感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呈現。</w:t>
            </w:r>
          </w:p>
        </w:tc>
      </w:tr>
    </w:tbl>
    <w:p w:rsidR="007B22DE" w:rsidRDefault="007B22DE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●錄取名額及獎勵：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分別錄取前三名各</w:t>
      </w:r>
      <w:r w:rsidRPr="0080325D">
        <w:rPr>
          <w:rFonts w:ascii="新細明體" w:eastAsia="新細明體" w:cs="新細明體"/>
          <w:color w:val="333333"/>
          <w:kern w:val="0"/>
          <w:szCs w:val="24"/>
        </w:rPr>
        <w:t>1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組，佳作</w:t>
      </w:r>
      <w:r w:rsidR="002402C9" w:rsidRPr="0080325D"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組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，其名額及獎金分配方式如下：</w:t>
      </w:r>
    </w:p>
    <w:tbl>
      <w:tblPr>
        <w:tblStyle w:val="a3"/>
        <w:tblW w:w="0" w:type="auto"/>
        <w:tblInd w:w="388" w:type="dxa"/>
        <w:tblLook w:val="04A0"/>
      </w:tblPr>
      <w:tblGrid>
        <w:gridCol w:w="1148"/>
        <w:gridCol w:w="854"/>
        <w:gridCol w:w="3374"/>
      </w:tblGrid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獎項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名額</w:t>
            </w:r>
          </w:p>
        </w:tc>
        <w:tc>
          <w:tcPr>
            <w:tcW w:w="337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獎勵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80325D" w:rsidRDefault="00B472BA" w:rsidP="0060241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獎狀乙楨及團體獎金</w:t>
            </w:r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4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80325D" w:rsidRDefault="00B472BA" w:rsidP="001145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獎狀乙楨及團體獎金</w:t>
            </w:r>
            <w:r w:rsidR="00114580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80325D" w:rsidRDefault="00B472BA" w:rsidP="001145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獎狀乙楨及團體獎金</w:t>
            </w:r>
            <w:r w:rsidR="00114580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佳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作</w:t>
            </w:r>
          </w:p>
        </w:tc>
        <w:tc>
          <w:tcPr>
            <w:tcW w:w="854" w:type="dxa"/>
          </w:tcPr>
          <w:p w:rsidR="00B472BA" w:rsidRPr="0080325D" w:rsidRDefault="0060241D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参</w:t>
            </w:r>
            <w:r w:rsidR="00B472BA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組</w:t>
            </w:r>
          </w:p>
        </w:tc>
        <w:tc>
          <w:tcPr>
            <w:tcW w:w="3374" w:type="dxa"/>
          </w:tcPr>
          <w:p w:rsidR="00B472BA" w:rsidRPr="0080325D" w:rsidRDefault="00B472BA" w:rsidP="0060241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獎狀乙楨</w:t>
            </w:r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及團體獎金1</w:t>
            </w:r>
            <w:r w:rsidR="0060241D"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●本辦法未盡完善之處，得由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課群會議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視實際狀況討論議決之。</w:t>
      </w:r>
    </w:p>
    <w:p w:rsidR="00A11D62" w:rsidRP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</w:p>
    <w:sectPr w:rsidR="00A11D62" w:rsidRPr="00A11D62" w:rsidSect="003946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4AF" w:rsidRDefault="004944AF" w:rsidP="001F3F26">
      <w:r>
        <w:separator/>
      </w:r>
    </w:p>
  </w:endnote>
  <w:endnote w:type="continuationSeparator" w:id="1">
    <w:p w:rsidR="004944AF" w:rsidRDefault="004944AF" w:rsidP="001F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110"/>
      <w:docPartObj>
        <w:docPartGallery w:val="Page Numbers (Bottom of Page)"/>
        <w:docPartUnique/>
      </w:docPartObj>
    </w:sdtPr>
    <w:sdtContent>
      <w:p w:rsidR="00E13BA0" w:rsidRDefault="006D0522">
        <w:pPr>
          <w:pStyle w:val="a6"/>
          <w:jc w:val="center"/>
        </w:pPr>
        <w:fldSimple w:instr=" PAGE   \* MERGEFORMAT ">
          <w:r w:rsidR="00B84620" w:rsidRPr="00B84620">
            <w:rPr>
              <w:noProof/>
              <w:lang w:val="zh-TW"/>
            </w:rPr>
            <w:t>1</w:t>
          </w:r>
        </w:fldSimple>
      </w:p>
    </w:sdtContent>
  </w:sdt>
  <w:p w:rsidR="00E13BA0" w:rsidRDefault="00E13B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4AF" w:rsidRDefault="004944AF" w:rsidP="001F3F26">
      <w:r>
        <w:separator/>
      </w:r>
    </w:p>
  </w:footnote>
  <w:footnote w:type="continuationSeparator" w:id="1">
    <w:p w:rsidR="004944AF" w:rsidRDefault="004944AF" w:rsidP="001F3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BA"/>
    <w:rsid w:val="000140AA"/>
    <w:rsid w:val="000D3CBD"/>
    <w:rsid w:val="00114580"/>
    <w:rsid w:val="00137165"/>
    <w:rsid w:val="00170AA2"/>
    <w:rsid w:val="001D25B2"/>
    <w:rsid w:val="001D4EEF"/>
    <w:rsid w:val="001F03D7"/>
    <w:rsid w:val="001F3F26"/>
    <w:rsid w:val="002402C9"/>
    <w:rsid w:val="00251391"/>
    <w:rsid w:val="00320D06"/>
    <w:rsid w:val="003279C0"/>
    <w:rsid w:val="00341204"/>
    <w:rsid w:val="0034541A"/>
    <w:rsid w:val="0039467F"/>
    <w:rsid w:val="003F637E"/>
    <w:rsid w:val="00442E3D"/>
    <w:rsid w:val="00466278"/>
    <w:rsid w:val="00476EF2"/>
    <w:rsid w:val="004944AF"/>
    <w:rsid w:val="004E1E15"/>
    <w:rsid w:val="004E64D4"/>
    <w:rsid w:val="0060241D"/>
    <w:rsid w:val="00636256"/>
    <w:rsid w:val="00681ACF"/>
    <w:rsid w:val="00692A5B"/>
    <w:rsid w:val="006A6523"/>
    <w:rsid w:val="006D0522"/>
    <w:rsid w:val="006F6431"/>
    <w:rsid w:val="00704550"/>
    <w:rsid w:val="00712249"/>
    <w:rsid w:val="00723563"/>
    <w:rsid w:val="007713AB"/>
    <w:rsid w:val="007B22DE"/>
    <w:rsid w:val="0080325D"/>
    <w:rsid w:val="00844E48"/>
    <w:rsid w:val="00862BA0"/>
    <w:rsid w:val="00873BAC"/>
    <w:rsid w:val="008F1FCC"/>
    <w:rsid w:val="00A11D62"/>
    <w:rsid w:val="00A95BD4"/>
    <w:rsid w:val="00AA1A30"/>
    <w:rsid w:val="00B06D90"/>
    <w:rsid w:val="00B461D6"/>
    <w:rsid w:val="00B472BA"/>
    <w:rsid w:val="00B821E3"/>
    <w:rsid w:val="00B84620"/>
    <w:rsid w:val="00BE2C58"/>
    <w:rsid w:val="00BE6C43"/>
    <w:rsid w:val="00BF17A9"/>
    <w:rsid w:val="00C41D64"/>
    <w:rsid w:val="00D007ED"/>
    <w:rsid w:val="00D93337"/>
    <w:rsid w:val="00E13BA0"/>
    <w:rsid w:val="00E81A21"/>
    <w:rsid w:val="00F21612"/>
    <w:rsid w:val="00F3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1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3642">
                              <w:marLeft w:val="0"/>
                              <w:marRight w:val="-18928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cc</cp:lastModifiedBy>
  <cp:revision>2</cp:revision>
  <dcterms:created xsi:type="dcterms:W3CDTF">2014-12-10T06:26:00Z</dcterms:created>
  <dcterms:modified xsi:type="dcterms:W3CDTF">2014-12-10T06:26:00Z</dcterms:modified>
</cp:coreProperties>
</file>